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73" w:rsidRDefault="00972C73">
      <w:pPr>
        <w:spacing w:line="240" w:lineRule="auto"/>
        <w:rPr>
          <w:rFonts w:ascii="Calibri" w:eastAsia="Calibri" w:hAnsi="Calibri" w:cs="Calibri"/>
          <w:b/>
          <w:sz w:val="28"/>
        </w:rPr>
      </w:pPr>
      <w:r>
        <w:object w:dxaOrig="3907" w:dyaOrig="2327">
          <v:rect id="rectole0000000000" o:spid="_x0000_i1025" style="width:195.15pt;height:116.85pt" o:ole="" o:preferrelative="t" stroked="f">
            <v:imagedata r:id="rId5" o:title=""/>
          </v:rect>
          <o:OLEObject Type="Embed" ProgID="StaticMetafile" ShapeID="rectole0000000000" DrawAspect="Content" ObjectID="_1540284991" r:id="rId6"/>
        </w:object>
      </w:r>
    </w:p>
    <w:p w:rsidR="00972C73" w:rsidRDefault="00972C73">
      <w:pPr>
        <w:rPr>
          <w:rFonts w:ascii="Arial Black" w:eastAsia="Arial Black" w:hAnsi="Arial Black" w:cs="Arial Black"/>
          <w:b/>
          <w:sz w:val="28"/>
        </w:rPr>
      </w:pPr>
    </w:p>
    <w:p w:rsidR="00972C73" w:rsidRDefault="006F3FF4" w:rsidP="006F3FF4">
      <w:pPr>
        <w:jc w:val="both"/>
        <w:rPr>
          <w:rFonts w:ascii="Arial Black" w:eastAsia="Arial Black" w:hAnsi="Arial Black" w:cs="Arial Black"/>
          <w:b/>
          <w:sz w:val="28"/>
        </w:rPr>
      </w:pPr>
      <w:r>
        <w:rPr>
          <w:rFonts w:ascii="Arial Black" w:eastAsia="Arial Black" w:hAnsi="Arial Black" w:cs="Arial Black"/>
          <w:b/>
          <w:sz w:val="28"/>
        </w:rPr>
        <w:t xml:space="preserve">                    </w:t>
      </w:r>
    </w:p>
    <w:p w:rsidR="00972C73" w:rsidRPr="00D95397" w:rsidRDefault="00972C73" w:rsidP="006F3FF4">
      <w:pPr>
        <w:jc w:val="both"/>
        <w:rPr>
          <w:rFonts w:ascii="Arial Black" w:eastAsia="Arial Black" w:hAnsi="Arial Black" w:cs="Arial Black"/>
          <w:b/>
          <w:sz w:val="28"/>
        </w:rPr>
      </w:pPr>
    </w:p>
    <w:p w:rsidR="00972C73" w:rsidRPr="00D95397" w:rsidRDefault="006F3FF4" w:rsidP="006F3FF4">
      <w:pPr>
        <w:jc w:val="both"/>
        <w:rPr>
          <w:rFonts w:ascii="Arial Black" w:eastAsia="Arial Black" w:hAnsi="Arial Black" w:cs="Arial Black"/>
          <w:b/>
          <w:sz w:val="28"/>
        </w:rPr>
      </w:pPr>
      <w:r w:rsidRPr="00D95397">
        <w:rPr>
          <w:rFonts w:ascii="Arial Black" w:eastAsia="Arial Black" w:hAnsi="Arial Black" w:cs="Arial Black"/>
          <w:b/>
          <w:sz w:val="28"/>
        </w:rPr>
        <w:t xml:space="preserve">                    PROCEDIMIENTO DE COMPRA:</w:t>
      </w:r>
    </w:p>
    <w:p w:rsidR="00972C73" w:rsidRPr="00D95397" w:rsidRDefault="00972C73" w:rsidP="006F3FF4">
      <w:pPr>
        <w:jc w:val="both"/>
        <w:rPr>
          <w:rFonts w:ascii="Arial Black" w:eastAsia="Arial Black" w:hAnsi="Arial Black" w:cs="Arial Black"/>
          <w:b/>
        </w:rPr>
      </w:pPr>
    </w:p>
    <w:p w:rsidR="00972C73" w:rsidRDefault="00D95397" w:rsidP="006F3FF4">
      <w:pPr>
        <w:jc w:val="both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1</w:t>
      </w:r>
      <w:r w:rsidR="006F3FF4" w:rsidRPr="00D95397">
        <w:rPr>
          <w:rFonts w:ascii="Arial Black" w:eastAsia="Arial Black" w:hAnsi="Arial Black" w:cs="Arial Black"/>
          <w:b/>
        </w:rPr>
        <w:t>º) El comprador emite LOI.</w:t>
      </w:r>
    </w:p>
    <w:p w:rsidR="00D95397" w:rsidRPr="00D95397" w:rsidRDefault="00D95397" w:rsidP="006F3FF4">
      <w:pPr>
        <w:jc w:val="both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LA LOI, CONTENDRÁ TODOS LOS DATOS DEL COMPRADOR INCLUIDOS LOS DATOS BANCARIOS.</w:t>
      </w:r>
    </w:p>
    <w:p w:rsidR="00972C73" w:rsidRPr="00D95397" w:rsidRDefault="00D95397" w:rsidP="006F3FF4">
      <w:pPr>
        <w:jc w:val="both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 xml:space="preserve">2º) Se emitirá por el </w:t>
      </w:r>
      <w:r w:rsidR="006F3FF4" w:rsidRPr="00D95397">
        <w:rPr>
          <w:rFonts w:ascii="Arial Black" w:eastAsia="Arial Black" w:hAnsi="Arial Black" w:cs="Arial Black"/>
          <w:b/>
        </w:rPr>
        <w:t xml:space="preserve"> vendedor Of</w:t>
      </w:r>
      <w:r>
        <w:rPr>
          <w:rFonts w:ascii="Arial Black" w:eastAsia="Arial Black" w:hAnsi="Arial Black" w:cs="Arial Black"/>
          <w:b/>
        </w:rPr>
        <w:t>erta</w:t>
      </w:r>
      <w:r w:rsidR="006F3FF4" w:rsidRPr="00D95397">
        <w:rPr>
          <w:rFonts w:ascii="Arial Black" w:eastAsia="Arial Black" w:hAnsi="Arial Black" w:cs="Arial Black"/>
          <w:b/>
        </w:rPr>
        <w:t xml:space="preserve"> corporativa completa (</w:t>
      </w:r>
      <w:r w:rsidRPr="00D95397">
        <w:rPr>
          <w:rFonts w:ascii="Arial Black" w:eastAsia="Arial Black" w:hAnsi="Arial Black" w:cs="Arial Black"/>
          <w:b/>
        </w:rPr>
        <w:t>F</w:t>
      </w:r>
      <w:r w:rsidR="006F3FF4" w:rsidRPr="00D95397">
        <w:rPr>
          <w:rFonts w:ascii="Arial Black" w:eastAsia="Arial Black" w:hAnsi="Arial Black" w:cs="Arial Black"/>
          <w:b/>
        </w:rPr>
        <w:t>CO)</w:t>
      </w:r>
      <w:r>
        <w:rPr>
          <w:rFonts w:ascii="Arial Black" w:eastAsia="Arial Black" w:hAnsi="Arial Black" w:cs="Arial Black"/>
          <w:b/>
        </w:rPr>
        <w:t>,  con las condiciones de la venta, esta oferta podrá ser negociada por el comprador con el vendedor. Después de la negociación si la hubiera:</w:t>
      </w:r>
    </w:p>
    <w:p w:rsidR="00972C73" w:rsidRPr="00D95397" w:rsidRDefault="00D95397" w:rsidP="006F3FF4">
      <w:pPr>
        <w:jc w:val="both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3</w:t>
      </w:r>
      <w:r w:rsidR="006F3FF4" w:rsidRPr="00D95397">
        <w:rPr>
          <w:rFonts w:ascii="Arial Black" w:eastAsia="Arial Black" w:hAnsi="Arial Black" w:cs="Arial Black"/>
          <w:b/>
        </w:rPr>
        <w:t>º) El vendedor presenta el proyecto de contrato para la aceptación por parte del comprador.</w:t>
      </w:r>
    </w:p>
    <w:p w:rsidR="00972C73" w:rsidRPr="00D95397" w:rsidRDefault="00D95397" w:rsidP="006F3FF4">
      <w:pPr>
        <w:jc w:val="both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4</w:t>
      </w:r>
      <w:r w:rsidR="006F3FF4" w:rsidRPr="00D95397">
        <w:rPr>
          <w:rFonts w:ascii="Arial Black" w:eastAsia="Arial Black" w:hAnsi="Arial Black" w:cs="Arial Black"/>
          <w:b/>
        </w:rPr>
        <w:t>º) El comprador firma, sella y devuelve el proyecto de contrato mediante el intercambio por fax o correo electrónico, dentro de 5 días hábiles</w:t>
      </w:r>
      <w:r>
        <w:rPr>
          <w:rFonts w:ascii="Arial Black" w:eastAsia="Arial Black" w:hAnsi="Arial Black" w:cs="Arial Black"/>
          <w:b/>
        </w:rPr>
        <w:t xml:space="preserve"> posteriores al contrato</w:t>
      </w:r>
      <w:r w:rsidR="006F3FF4" w:rsidRPr="00D95397">
        <w:rPr>
          <w:rFonts w:ascii="Arial Black" w:eastAsia="Arial Black" w:hAnsi="Arial Black" w:cs="Arial Black"/>
          <w:b/>
        </w:rPr>
        <w:t>. El Proyecto de Contrato</w:t>
      </w:r>
      <w:r>
        <w:rPr>
          <w:rFonts w:ascii="Arial Black" w:eastAsia="Arial Black" w:hAnsi="Arial Black" w:cs="Arial Black"/>
          <w:b/>
        </w:rPr>
        <w:t xml:space="preserve"> será</w:t>
      </w:r>
      <w:r w:rsidR="006F3FF4" w:rsidRPr="00D95397">
        <w:rPr>
          <w:rFonts w:ascii="Arial Black" w:eastAsia="Arial Black" w:hAnsi="Arial Black" w:cs="Arial Black"/>
          <w:b/>
        </w:rPr>
        <w:t xml:space="preserve"> Firmado </w:t>
      </w:r>
      <w:r>
        <w:rPr>
          <w:rFonts w:ascii="Arial Black" w:eastAsia="Arial Black" w:hAnsi="Arial Black" w:cs="Arial Black"/>
          <w:b/>
        </w:rPr>
        <w:t xml:space="preserve">y </w:t>
      </w:r>
      <w:r w:rsidR="006F3FF4" w:rsidRPr="00D95397">
        <w:rPr>
          <w:rFonts w:ascii="Arial Black" w:eastAsia="Arial Black" w:hAnsi="Arial Black" w:cs="Arial Black"/>
          <w:b/>
        </w:rPr>
        <w:t xml:space="preserve">enviado a través de fax o correo electrónico </w:t>
      </w:r>
      <w:r>
        <w:rPr>
          <w:rFonts w:ascii="Arial Black" w:eastAsia="Arial Black" w:hAnsi="Arial Black" w:cs="Arial Black"/>
          <w:b/>
        </w:rPr>
        <w:t>y se</w:t>
      </w:r>
      <w:r w:rsidR="006F3FF4" w:rsidRPr="00D95397">
        <w:rPr>
          <w:rFonts w:ascii="Arial Black" w:eastAsia="Arial Black" w:hAnsi="Arial Black" w:cs="Arial Black"/>
          <w:b/>
        </w:rPr>
        <w:t xml:space="preserve"> considerará legal</w:t>
      </w:r>
      <w:r>
        <w:rPr>
          <w:rFonts w:ascii="Arial Black" w:eastAsia="Arial Black" w:hAnsi="Arial Black" w:cs="Arial Black"/>
          <w:b/>
        </w:rPr>
        <w:t>.</w:t>
      </w:r>
    </w:p>
    <w:p w:rsidR="00972C73" w:rsidRPr="00D95397" w:rsidRDefault="00D95397" w:rsidP="006F3FF4">
      <w:pPr>
        <w:jc w:val="both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5</w:t>
      </w:r>
      <w:r w:rsidR="006F3FF4" w:rsidRPr="00D95397">
        <w:rPr>
          <w:rFonts w:ascii="Arial Black" w:eastAsia="Arial Black" w:hAnsi="Arial Black" w:cs="Arial Black"/>
          <w:b/>
        </w:rPr>
        <w:t xml:space="preserve">º) </w:t>
      </w:r>
      <w:r>
        <w:rPr>
          <w:rFonts w:ascii="Arial Black" w:eastAsia="Arial Black" w:hAnsi="Arial Black" w:cs="Arial Black"/>
          <w:b/>
        </w:rPr>
        <w:t xml:space="preserve">El </w:t>
      </w:r>
      <w:r w:rsidR="006F3FF4" w:rsidRPr="00D95397">
        <w:rPr>
          <w:rFonts w:ascii="Arial Black" w:eastAsia="Arial Black" w:hAnsi="Arial Black" w:cs="Arial Black"/>
          <w:b/>
        </w:rPr>
        <w:t xml:space="preserve">Vendedor </w:t>
      </w:r>
      <w:r w:rsidR="008A3963">
        <w:rPr>
          <w:rFonts w:ascii="Arial Black" w:eastAsia="Arial Black" w:hAnsi="Arial Black" w:cs="Arial Black"/>
          <w:b/>
        </w:rPr>
        <w:t>remite una factura proforma para apertura de LC.</w:t>
      </w:r>
    </w:p>
    <w:p w:rsidR="00972C73" w:rsidRPr="00D95397" w:rsidRDefault="008A3963" w:rsidP="006F3FF4">
      <w:pPr>
        <w:jc w:val="both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6</w:t>
      </w:r>
      <w:r w:rsidR="006F3FF4" w:rsidRPr="00D95397">
        <w:rPr>
          <w:rFonts w:ascii="Arial Black" w:eastAsia="Arial Black" w:hAnsi="Arial Black" w:cs="Arial Black"/>
          <w:b/>
        </w:rPr>
        <w:t xml:space="preserve">º) </w:t>
      </w:r>
      <w:r>
        <w:rPr>
          <w:rFonts w:ascii="Arial Black" w:eastAsia="Arial Black" w:hAnsi="Arial Black" w:cs="Arial Black"/>
          <w:b/>
        </w:rPr>
        <w:t>se remite borrador de de LC, MT 700 irrevocable y transferible al vendedor, para que el vendedor la entregue en su banco y sea aceptada. Una vez aceptada, se dará visto bueno al comprador para que se remita swift al banco del comprador y se inicia pedido.</w:t>
      </w:r>
    </w:p>
    <w:p w:rsidR="006F3FF4" w:rsidRPr="00D95397" w:rsidRDefault="006F3FF4" w:rsidP="006F3FF4">
      <w:pPr>
        <w:jc w:val="both"/>
        <w:rPr>
          <w:rFonts w:ascii="Calibri" w:eastAsia="Calibri" w:hAnsi="Calibri" w:cs="Calibri"/>
        </w:rPr>
      </w:pPr>
    </w:p>
    <w:p w:rsidR="00972C73" w:rsidRDefault="006F3FF4" w:rsidP="006F3FF4">
      <w:pPr>
        <w:spacing w:before="280" w:after="280" w:line="240" w:lineRule="auto"/>
        <w:jc w:val="both"/>
        <w:rPr>
          <w:rFonts w:ascii="Calibri" w:eastAsia="Calibri" w:hAnsi="Calibri" w:cs="Calibri"/>
          <w:b/>
          <w:color w:val="984806"/>
          <w:sz w:val="28"/>
        </w:rPr>
      </w:pPr>
      <w:r>
        <w:rPr>
          <w:rFonts w:ascii="Calibri" w:eastAsia="Calibri" w:hAnsi="Calibri" w:cs="Calibri"/>
        </w:rPr>
        <w:lastRenderedPageBreak/>
        <w:t xml:space="preserve">       </w:t>
      </w:r>
      <w:r w:rsidR="00972C73">
        <w:object w:dxaOrig="3907" w:dyaOrig="2327">
          <v:rect id="rectole0000000004" o:spid="_x0000_i1026" style="width:195.15pt;height:116.85pt" o:ole="" o:preferrelative="t" stroked="f">
            <v:imagedata r:id="rId5" o:title=""/>
          </v:rect>
          <o:OLEObject Type="Embed" ProgID="StaticMetafile" ShapeID="rectole0000000004" DrawAspect="Content" ObjectID="_1540284992" r:id="rId7"/>
        </w:object>
      </w:r>
    </w:p>
    <w:p w:rsidR="00972C73" w:rsidRDefault="006F3FF4">
      <w:pPr>
        <w:spacing w:before="280" w:after="280" w:line="240" w:lineRule="auto"/>
        <w:rPr>
          <w:rFonts w:ascii="Arial" w:eastAsia="Arial" w:hAnsi="Arial" w:cs="Arial"/>
          <w:b/>
          <w:sz w:val="24"/>
        </w:rPr>
      </w:pPr>
      <w:r>
        <w:rPr>
          <w:rFonts w:ascii="Calibri" w:eastAsia="Calibri" w:hAnsi="Calibri" w:cs="Calibri"/>
          <w:b/>
          <w:color w:val="984806"/>
          <w:sz w:val="28"/>
        </w:rPr>
        <w:t xml:space="preserve">         PRECIO JULIO 2.016</w:t>
      </w:r>
    </w:p>
    <w:p w:rsidR="00972C73" w:rsidRDefault="006F3FF4">
      <w:pPr>
        <w:spacing w:before="280" w:after="28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  <w:b/>
          <w:sz w:val="24"/>
          <w:u w:val="single"/>
        </w:rPr>
        <w:t>PRECIO CIF 1.000 MT</w:t>
      </w:r>
    </w:p>
    <w:p w:rsidR="00972C73" w:rsidRDefault="00972C73">
      <w:pPr>
        <w:spacing w:after="0" w:line="240" w:lineRule="auto"/>
        <w:rPr>
          <w:rFonts w:ascii="Calibri" w:eastAsia="Calibri" w:hAnsi="Calibri" w:cs="Calibri"/>
        </w:rPr>
      </w:pPr>
    </w:p>
    <w:p w:rsidR="00972C73" w:rsidRDefault="006F3FF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2C73" w:rsidRDefault="00972C73">
      <w:pPr>
        <w:spacing w:after="0" w:line="240" w:lineRule="auto"/>
        <w:rPr>
          <w:rFonts w:ascii="Calibri" w:eastAsia="Calibri" w:hAnsi="Calibri" w:cs="Calibri"/>
        </w:rPr>
      </w:pPr>
    </w:p>
    <w:p w:rsidR="00972C73" w:rsidRDefault="00972C73">
      <w:pPr>
        <w:spacing w:after="0" w:line="240" w:lineRule="auto"/>
        <w:rPr>
          <w:rFonts w:ascii="Calibri" w:eastAsia="Calibri" w:hAnsi="Calibri" w:cs="Calibri"/>
        </w:rPr>
      </w:pPr>
    </w:p>
    <w:p w:rsidR="00972C73" w:rsidRDefault="006F3FF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color w:val="FF0000"/>
          <w:sz w:val="28"/>
        </w:rPr>
        <w:t>PRECIO VENTA A REFINERIAS DE UKRANIA A PARTIR DE 1.000TM</w:t>
      </w:r>
    </w:p>
    <w:p w:rsidR="00972C73" w:rsidRDefault="006F3FF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3"/>
        <w:gridCol w:w="2210"/>
        <w:gridCol w:w="2309"/>
      </w:tblGrid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PRODUCTS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CIF USD PER MT 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FOB         USD PER MT </w:t>
            </w:r>
          </w:p>
        </w:tc>
      </w:tr>
      <w:tr w:rsidR="00972C73">
        <w:trPr>
          <w:trHeight w:val="288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REFINADO DE GIRASOL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290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CRUDO DE GIRASOL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260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DE MAIZ REFINADO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DE MAIZ CRUDO       (NO COMESTIBLE)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DE COLZA CRUDO DESGOMADO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DE COLZA REFINADO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DE PALMA REFINADO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CRUDO DE PALMA             (BIODIESEL)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CRUDO DE SOJA       (NO COMESTIBLE)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REFINADO DE SOJA.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USADO DE COCINA            (BIODIESEL)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236"/>
        </w:trPr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ACEITE REFINADO DE CACAHUETE     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972C73">
        <w:trPr>
          <w:trHeight w:val="1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6F3FF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ACEITE Blend 20% GIRASOL/80% SOJA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C73" w:rsidRDefault="00972C7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</w:tbl>
    <w:p w:rsidR="00972C73" w:rsidRDefault="006F3FF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</w:t>
      </w:r>
    </w:p>
    <w:p w:rsidR="00972C73" w:rsidRDefault="006F3FF4">
      <w:pPr>
        <w:rPr>
          <w:rFonts w:ascii="Calibri" w:eastAsia="Calibri" w:hAnsi="Calibri" w:cs="Calibri"/>
        </w:rPr>
      </w:pPr>
      <w:r w:rsidRPr="006F3FF4">
        <w:rPr>
          <w:rFonts w:ascii="Calibri" w:eastAsia="Calibri" w:hAnsi="Calibri" w:cs="Calibri"/>
          <w:sz w:val="52"/>
          <w:szCs w:val="52"/>
        </w:rPr>
        <w:t>Para</w:t>
      </w:r>
      <w:r>
        <w:rPr>
          <w:rFonts w:ascii="Calibri" w:eastAsia="Calibri" w:hAnsi="Calibri" w:cs="Calibri"/>
          <w:sz w:val="52"/>
          <w:szCs w:val="52"/>
        </w:rPr>
        <w:t xml:space="preserve"> mayores tonelajes, pedir descuentos.</w:t>
      </w:r>
    </w:p>
    <w:sectPr w:rsidR="00972C73" w:rsidSect="002B5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2C73"/>
    <w:rsid w:val="002B582D"/>
    <w:rsid w:val="003458CC"/>
    <w:rsid w:val="006F3FF4"/>
    <w:rsid w:val="008A3963"/>
    <w:rsid w:val="00972C73"/>
    <w:rsid w:val="00D0176D"/>
    <w:rsid w:val="00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</dc:creator>
  <cp:lastModifiedBy>SEMA</cp:lastModifiedBy>
  <cp:revision>4</cp:revision>
  <dcterms:created xsi:type="dcterms:W3CDTF">2016-07-02T12:56:00Z</dcterms:created>
  <dcterms:modified xsi:type="dcterms:W3CDTF">2016-11-10T10:10:00Z</dcterms:modified>
</cp:coreProperties>
</file>